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 xml:space="preserve">What is your current job </w:t>
            </w:r>
            <w:proofErr w:type="gramStart"/>
            <w:r w:rsidRPr="008B3453">
              <w:rPr>
                <w:rFonts w:asciiTheme="majorHAnsi" w:hAnsiTheme="majorHAnsi" w:cstheme="majorHAnsi"/>
                <w:b/>
                <w:bCs/>
                <w:i w:val="0"/>
                <w:iCs w:val="0"/>
              </w:rPr>
              <w:t>title:</w:t>
            </w:r>
            <w:proofErr w:type="gramEnd"/>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roofErr w:type="gramStart"/>
            <w:r w:rsidRPr="008B3453">
              <w:rPr>
                <w:rFonts w:asciiTheme="majorHAnsi" w:hAnsiTheme="majorHAnsi" w:cstheme="majorHAnsi"/>
                <w:sz w:val="20"/>
              </w:rPr>
              <w:t>E.g.</w:t>
            </w:r>
            <w:proofErr w:type="gramEnd"/>
            <w:r w:rsidRPr="008B3453">
              <w:rPr>
                <w:rFonts w:asciiTheme="majorHAnsi" w:hAnsiTheme="majorHAnsi" w:cstheme="majorHAnsi"/>
                <w:sz w:val="20"/>
              </w:rPr>
              <w:t xml:space="preserve">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w:t>
            </w:r>
            <w:proofErr w:type="gramStart"/>
            <w:r w:rsidRPr="008B3453">
              <w:rPr>
                <w:rFonts w:asciiTheme="majorHAnsi" w:hAnsiTheme="majorHAnsi" w:cstheme="majorHAnsi"/>
                <w:sz w:val="20"/>
              </w:rPr>
              <w:t>School</w:t>
            </w:r>
            <w:proofErr w:type="gramEnd"/>
            <w:r w:rsidRPr="008B3453">
              <w:rPr>
                <w:rFonts w:asciiTheme="majorHAnsi" w:hAnsiTheme="majorHAnsi" w:cstheme="majorHAnsi"/>
                <w:sz w:val="20"/>
              </w:rPr>
              <w:t xml:space="preserve">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9"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0"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 xml:space="preserve">Unit 3 </w:t>
            </w:r>
            <w:proofErr w:type="spellStart"/>
            <w:r w:rsidR="001376B3" w:rsidRPr="001376B3">
              <w:rPr>
                <w:rStyle w:val="s12"/>
                <w:rFonts w:asciiTheme="majorHAnsi" w:hAnsiTheme="majorHAnsi" w:cstheme="majorHAnsi"/>
                <w:sz w:val="20"/>
              </w:rPr>
              <w:t>Endcliffe</w:t>
            </w:r>
            <w:proofErr w:type="spellEnd"/>
            <w:r w:rsidR="001376B3" w:rsidRPr="001376B3">
              <w:rPr>
                <w:rStyle w:val="s12"/>
                <w:rFonts w:asciiTheme="majorHAnsi" w:hAnsiTheme="majorHAnsi" w:cstheme="majorHAnsi"/>
                <w:sz w:val="20"/>
              </w:rPr>
              <w:t xml:space="preserve"> Mount, Deep Dale Business Park, Ashford Road, Bakewell, DE45 1GT.</w:t>
            </w:r>
            <w:r w:rsidR="001376B3">
              <w:rPr>
                <w:rStyle w:val="s12"/>
                <w:rFonts w:asciiTheme="majorHAnsi" w:hAnsiTheme="majorHAnsi" w:cstheme="majorHAnsi"/>
                <w:sz w:val="20"/>
              </w:rPr>
              <w:t xml:space="preserve"> </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8643" w14:textId="77777777" w:rsidR="00987E21" w:rsidRDefault="00987E21">
      <w:r>
        <w:separator/>
      </w:r>
    </w:p>
  </w:endnote>
  <w:endnote w:type="continuationSeparator" w:id="0">
    <w:p w14:paraId="7F627E3D" w14:textId="77777777" w:rsidR="00987E21" w:rsidRDefault="0098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3698" w14:textId="77777777" w:rsidR="00987E21" w:rsidRDefault="00987E21">
      <w:r>
        <w:separator/>
      </w:r>
    </w:p>
  </w:footnote>
  <w:footnote w:type="continuationSeparator" w:id="0">
    <w:p w14:paraId="12FEB6DB" w14:textId="77777777" w:rsidR="00987E21" w:rsidRDefault="0098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2C02"/>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2823"/>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87E21"/>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1982"/>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styleId="UnresolvedMention">
    <w:name w:val="Unresolved Mention"/>
    <w:basedOn w:val="DefaultParagraphFont"/>
    <w:uiPriority w:val="99"/>
    <w:semiHidden/>
    <w:unhideWhenUsed/>
    <w:rsid w:val="001376B3"/>
    <w:rPr>
      <w:color w:val="605E5C"/>
      <w:shd w:val="clear" w:color="auto" w:fill="E1DFDD"/>
    </w:rPr>
  </w:style>
  <w:style w:type="paragraph" w:styleId="Revision">
    <w:name w:val="Revision"/>
    <w:hidden/>
    <w:uiPriority w:val="99"/>
    <w:semiHidden/>
    <w:rsid w:val="00B719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DAT.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Ellie Johnson</cp:lastModifiedBy>
  <cp:revision>5</cp:revision>
  <cp:lastPrinted>2018-01-03T15:22:00Z</cp:lastPrinted>
  <dcterms:created xsi:type="dcterms:W3CDTF">2021-03-03T09:30:00Z</dcterms:created>
  <dcterms:modified xsi:type="dcterms:W3CDTF">2022-03-21T11:51:00Z</dcterms:modified>
</cp:coreProperties>
</file>