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jc w:val="left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Teaching Assistant 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72.0" w:type="dxa"/>
        <w:tblBorders>
          <w:top w:color="b1b1b1" w:space="0" w:sz="8" w:val="single"/>
          <w:left w:color="b1b1b1" w:space="0" w:sz="8" w:val="single"/>
          <w:bottom w:color="b1b1b1" w:space="0" w:sz="8" w:val="single"/>
          <w:right w:color="b1b1b1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0"/>
        <w:gridCol w:w="5410"/>
        <w:tblGridChange w:id="0">
          <w:tblGrid>
            <w:gridCol w:w="5080"/>
            <w:gridCol w:w="54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02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Employment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cecec" w:val="clear"/>
            <w:vAlign w:val="center"/>
          </w:tcPr>
          <w:p w:rsidR="00000000" w:rsidDel="00000000" w:rsidP="00000000" w:rsidRDefault="00000000" w:rsidRPr="00000000" w14:paraId="00000004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Job 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00" w:before="100" w:line="276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Teaching Assistant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cecec" w:val="clear"/>
            <w:vAlign w:val="center"/>
          </w:tcPr>
          <w:p w:rsidR="00000000" w:rsidDel="00000000" w:rsidP="00000000" w:rsidRDefault="00000000" w:rsidRPr="00000000" w14:paraId="00000006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00" w:before="100" w:line="276" w:lineRule="auto"/>
              <w:jc w:val="left"/>
              <w:rPr>
                <w:color w:val="ff69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Headteacher, SENDCO, Class 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08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Hours of work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00" w:before="100" w:line="276" w:lineRule="auto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8:30-12:00 or 12-3:30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0A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Salary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Grade E Point 10 </w:t>
            </w:r>
          </w:p>
          <w:p w:rsidR="00000000" w:rsidDel="00000000" w:rsidP="00000000" w:rsidRDefault="00000000" w:rsidRPr="00000000" w14:paraId="0000000C">
            <w:pPr>
              <w:spacing w:after="100" w:before="100" w:line="276" w:lineRule="auto"/>
              <w:jc w:val="left"/>
              <w:rPr>
                <w:color w:val="ff69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(HLTA Rate Grade G point 21 when covering classes)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41e42" w:space="0" w:sz="2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100" w:before="10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41e42" w:space="0" w:sz="24" w:val="single"/>
              <w:bottom w:color="041e42" w:space="0" w:sz="24" w:val="single"/>
              <w:right w:color="041e42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00" w:before="100" w:line="276" w:lineRule="auto"/>
              <w:ind w:right="126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General duties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teaching staff to prepare classrooms for lessons and activities.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with school trips, events and activities.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pupils to interact with others and engage in activities led by teaching staff.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Supervise pupils’ work and offer support where necessary.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administrative and clerical support to teaching staff and other TAs regarding lesson planning and resources.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 the needs and behaviour of pupils, and report these to teaching staff where appropriate.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Undertake pupil record keeping as requested, e.g. updating Provision Map and Brackenfield assessment system.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teaching staff and other TAs with creating and maintaining displays throughout the school.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and maintain constructive relationships with pupils’ parents and deliver pastoral support as required.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a good role model to pupils in terms of behaviour and attitude.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a lead role in supporting pupils with SEND.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 independently and collaboratively with teaching staff in the planning and preparation of resources and delivery of the curriculum.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Advise, demonstrate and assist in the safe and effective use of specialist equipment and resources.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proactive in managing pupil behaviour.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Supervise classes using the teacher’s planning (at HLTA pay rate) to cover teachers’ PPA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00000" w:space="0" w:sz="0" w:val="nil"/>
              <w:bottom w:color="041e42" w:space="0" w:sz="2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100" w:before="100" w:line="276" w:lineRule="auto"/>
              <w:ind w:right="12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00" w:before="100" w:line="276" w:lineRule="auto"/>
              <w:ind w:right="12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41e42" w:space="0" w:sz="24" w:val="single"/>
              <w:bottom w:color="041e42" w:space="0" w:sz="24" w:val="single"/>
              <w:right w:color="041e42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00" w:before="100" w:line="276" w:lineRule="auto"/>
              <w:ind w:right="126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Supporting the school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Contribute to the ethos, value and aims of the school.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Comply with all relevant legislation and school policies, including those relating to safeguarding, health and safety and data protection.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Promote inclusion and acceptance of all pupils.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with the supervision of pupils out of lesson times, including before and after school and at lunchtimes.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 good working relationships with other staff members and keyholders, including parents and external agencies.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Share expertise and skills with other staff members.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meetings as required.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Undertake any duties which may reasonably fall within the level of responsibility and the competence of the post, as directed by the headteacher.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00000" w:space="0" w:sz="0" w:val="nil"/>
              <w:bottom w:color="041e42" w:space="0" w:sz="2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100" w:before="100" w:line="276" w:lineRule="auto"/>
              <w:ind w:right="12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41e42" w:space="0" w:sz="24" w:val="single"/>
              <w:bottom w:color="041e42" w:space="0" w:sz="24" w:val="single"/>
              <w:right w:color="041e42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100" w:before="100" w:line="276" w:lineRule="auto"/>
              <w:ind w:right="126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Teaching and learning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a secure knowledge of the learning support needs of individual pupils.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where pupils are struggling, e.g. engaging with a particular topic, and support them in understanding the information and complete the work.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 the use of ICT and computing in learning activities, and develop pupils’ competence and independence in its use.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Undertake activities set by teaching staff with individuals, or groups of pupils, to support pupils’ learning.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teaching staff to implement a variety of teaching strategies that support pupils in achieving their learning goals.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teaching staff and the SENCO with the creation of individual learning plans for pupils.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new and ongoing support for individuals or groups of pupils who need extra interventions to achieve their potential.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support to pupils in specialist areas of learning as required.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 individual support for pupils based on their needs and circumstances, e.g. deliver support in line with a pupil’s EHC plan.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Modify teaching and adapt activities to suit pupils’ individual needs.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ways to improve pupil performance.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Assess, record and report on the progress of pupils and use this information to extend their learning.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00000" w:space="0" w:sz="0" w:val="nil"/>
              <w:bottom w:color="041e42" w:space="0" w:sz="2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00" w:before="100" w:line="276" w:lineRule="auto"/>
              <w:ind w:right="12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41e42" w:space="0" w:sz="24" w:val="single"/>
              <w:bottom w:color="041e42" w:space="0" w:sz="24" w:val="single"/>
              <w:right w:color="041e42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00" w:before="100" w:line="276" w:lineRule="auto"/>
              <w:ind w:right="126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Communication and coordination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 closely with teaching staff, other TAs and the SENCO to close the attainment gap between individual pupils, groups of pupils, and their peers.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the SENCO in the production of a timetable that ensures pupils are not repeatedly missing the same lesson to join interventions.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Contribute towards pupils’ annual reviews and report on the effectiveness of the interventions in place.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in arranging extra time and access arrangements, as appropriate, where external examinations or tests are administered.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in the coordination and provision of interventions for named pupils or groups of pupils.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00000" w:space="0" w:sz="0" w:val="nil"/>
              <w:bottom w:color="041e42" w:space="0" w:sz="2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100" w:before="100" w:line="276" w:lineRule="auto"/>
              <w:ind w:right="126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41e42" w:space="0" w:sz="24" w:val="single"/>
              <w:left w:color="041e42" w:space="0" w:sz="24" w:val="single"/>
              <w:bottom w:color="041e42" w:space="0" w:sz="24" w:val="single"/>
              <w:right w:color="041e42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100" w:before="100" w:line="276" w:lineRule="auto"/>
              <w:ind w:right="126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Professional development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training and other professional development as required.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school with feedback on any training or professional development undertaken.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Report professional development progress to an assigned mentor and set goals for further professional development.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126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 as a point of contact for other professionals, e.g. speech and language therapists, specialists and parents.</w:t>
            </w:r>
          </w:p>
        </w:tc>
      </w:tr>
    </w:tbl>
    <w:p w:rsidR="00000000" w:rsidDel="00000000" w:rsidP="00000000" w:rsidRDefault="00000000" w:rsidRPr="00000000" w14:paraId="0000004F">
      <w:pPr>
        <w:spacing w:after="200" w:before="20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before="200" w:line="276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 person specification</w:t>
      </w:r>
    </w:p>
    <w:tbl>
      <w:tblPr>
        <w:tblStyle w:val="Table2"/>
        <w:tblW w:w="10425.0" w:type="dxa"/>
        <w:jc w:val="left"/>
        <w:tblInd w:w="-570.0" w:type="dxa"/>
        <w:tblBorders>
          <w:top w:color="b1b1b1" w:space="0" w:sz="8" w:val="single"/>
          <w:left w:color="b1b1b1" w:space="0" w:sz="8" w:val="single"/>
          <w:bottom w:color="b1b1b1" w:space="0" w:sz="8" w:val="single"/>
          <w:right w:color="b1b1b1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5"/>
        <w:gridCol w:w="5340"/>
        <w:tblGridChange w:id="0">
          <w:tblGrid>
            <w:gridCol w:w="5085"/>
            <w:gridCol w:w="53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51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Qualifications and training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53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54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Desirable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816" w:right="147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National Qualification Framework Level 2, 3 or relevant vocational qualification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16" w:right="147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Demonstrable levels of Numeracy and Literacy equivalent to GCSE (A-C)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816" w:right="14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training.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Safeguarding training.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relevant CPD.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5B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Skills and experience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5D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5E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Desirable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with children.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record keeping and monitoring.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 oral and written communication skills.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Demonstrable levels of numeracy and literacy.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communication skills.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Effective problem solving skills.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remain calm under pressure.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be proactive in seeking solutions.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with pupils in a professional manner.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SEND provision.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working with children and young people with additional needs.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720" w:right="14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in an educational environment.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on a one-to-one basis.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organisational skills and time management.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working with children and young people with additional needs.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in a specialist area.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in multi-agency working.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71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Knowledge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73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74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Desirable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areas of legislation relevant to child protection and safeguarding.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53" w:right="147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relevant school policies.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legislation and statutory guidance specific to primary education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82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a specialist area.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79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Personal traits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b1b1b1" w:val="clear"/>
            <w:vAlign w:val="center"/>
          </w:tcPr>
          <w:p w:rsidR="00000000" w:rsidDel="00000000" w:rsidP="00000000" w:rsidRDefault="00000000" w:rsidRPr="00000000" w14:paraId="0000007B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The successful candidate will be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work independently but also as part of a team.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Dedicated to their practice.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Punctual and professional.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maintain successful working relationships with colleagues.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Reliable and able to be flexible in their approach to work.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Positive and engaging.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plan and take control of situations.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Capable of handling demanding workload and successfully prioritising work.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Empathetic to those who face barriers to their learning.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Patient with pupils who take longer to understand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25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d883ff" w:val="clear"/>
            <w:vAlign w:val="center"/>
          </w:tcPr>
          <w:p w:rsidR="00000000" w:rsidDel="00000000" w:rsidP="00000000" w:rsidRDefault="00000000" w:rsidRPr="00000000" w14:paraId="00000089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Additional requirements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b1b1b1" w:val="clear"/>
            <w:vAlign w:val="center"/>
          </w:tcPr>
          <w:p w:rsidR="00000000" w:rsidDel="00000000" w:rsidP="00000000" w:rsidRDefault="00000000" w:rsidRPr="00000000" w14:paraId="0000008B">
            <w:pPr>
              <w:spacing w:after="100" w:before="1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The successful candidate will have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76" w:lineRule="auto"/>
              <w:ind w:left="453" w:right="125" w:hanging="35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capacity to work flexibly.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enhanced DBS check.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125" w:hanging="35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Available references from a previous employer or organisation.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76" w:lineRule="auto"/>
              <w:ind w:left="453" w:right="12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line="276" w:lineRule="auto"/>
        <w:jc w:val="left"/>
        <w:rPr>
          <w:b w:val="1"/>
          <w:color w:val="041e42"/>
        </w:rPr>
        <w:sectPr>
          <w:headerReference r:id="rId7" w:type="first"/>
          <w:pgSz w:h="16838" w:w="11906" w:orient="portrait"/>
          <w:pgMar w:bottom="1440" w:top="1521" w:left="1440" w:right="144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76" w:lineRule="auto"/>
        <w:rPr>
          <w:b w:val="1"/>
        </w:rPr>
        <w:sectPr>
          <w:type w:val="continuous"/>
          <w:pgSz w:h="16838" w:w="11906" w:orient="portrait"/>
          <w:pgMar w:bottom="1440" w:top="1521" w:left="1440" w:right="144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00" w:before="0" w:line="276" w:lineRule="auto"/>
        <w:jc w:val="left"/>
        <w:rPr>
          <w:b w:val="1"/>
          <w:color w:val="ff6900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521" w:left="1440" w:right="144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-386079</wp:posOffset>
              </wp:positionV>
              <wp:extent cx="670560" cy="321310"/>
              <wp:effectExtent b="0" l="0" r="0" t="0"/>
              <wp:wrapSquare wrapText="bothSides" distB="45720" distT="45720" distL="114300" distR="114300"/>
              <wp:docPr id="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20245" y="362887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12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8"/>
                              <w:vertAlign w:val="baseline"/>
                            </w:rPr>
                            <w:t xml:space="preserve">Teal Salmon Butty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-386079</wp:posOffset>
              </wp:positionV>
              <wp:extent cx="670560" cy="321310"/>
              <wp:effectExtent b="0" l="0" r="0" t="0"/>
              <wp:wrapSquare wrapText="bothSides" distB="45720" distT="45720" distL="114300" distR="114300"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560" cy="321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-547368</wp:posOffset>
          </wp:positionH>
          <wp:positionV relativeFrom="paragraph">
            <wp:posOffset>-309243</wp:posOffset>
          </wp:positionV>
          <wp:extent cx="6853555" cy="1414145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3555" cy="1414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16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after="120"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0" w:line="276" w:lineRule="auto"/>
      <w:ind w:left="720" w:hanging="360"/>
    </w:pPr>
    <w:rPr>
      <w:rFonts w:ascii="Cambria" w:cs="Cambria" w:eastAsia="Cambria" w:hAnsi="Cambri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0" w:line="276" w:lineRule="auto"/>
      <w:ind w:left="360" w:hanging="360"/>
    </w:pPr>
    <w:rPr>
      <w:rFonts w:ascii="Cambria" w:cs="Cambria" w:eastAsia="Cambria" w:hAnsi="Cambri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1FCA"/>
    <w:pPr>
      <w:spacing w:after="120" w:before="120" w:line="240" w:lineRule="auto"/>
      <w:jc w:val="both"/>
    </w:pPr>
    <w:rPr>
      <w:rFonts w:ascii="Arial" w:hAnsi="Arial" w:eastAsiaTheme="minorEastAsia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 w:val="1"/>
    <w:rsid w:val="00BD30B5"/>
    <w:pPr>
      <w:numPr>
        <w:numId w:val="3"/>
      </w:numPr>
      <w:outlineLvl w:val="0"/>
    </w:pPr>
    <w:rPr>
      <w:rFonts w:asciiTheme="majorHAnsi" w:cstheme="majorHAnsi" w:hAnsiTheme="majorHAnsi"/>
      <w:sz w:val="28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013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013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nhideWhenUsed w:val="1"/>
    <w:rsid w:val="0092013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 w:val="1"/>
    <w:rsid w:val="0092013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 w:val="1"/>
    <w:rsid w:val="005F161C"/>
    <w:pPr>
      <w:spacing w:after="0" w:before="0" w:line="276" w:lineRule="auto"/>
      <w:ind w:left="284"/>
      <w:contextualSpacing w:val="1"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 w:val="1"/>
    <w:rsid w:val="005E585A"/>
    <w:rPr>
      <w:color w:val="0000ee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BD30B5"/>
    <w:rPr>
      <w:rFonts w:asciiTheme="majorHAnsi" w:cstheme="majorHAnsi" w:hAnsi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en-GB"/>
    </w:rPr>
    <w:tblPr>
      <w:tblStyleRowBandSize w:val="1"/>
      <w:tblStyleColBandSize w:val="1"/>
      <w:tblBorders>
        <w:top w:color="b1b1b1" w:space="0" w:sz="8" w:themeColor="accent1" w:val="single"/>
        <w:left w:color="b1b1b1" w:space="0" w:sz="8" w:themeColor="accent1" w:val="single"/>
        <w:bottom w:color="b1b1b1" w:space="0" w:sz="8" w:themeColor="accent1" w:val="single"/>
        <w:right w:color="b1b1b1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1b1b1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b1b1" w:space="0" w:sz="6" w:themeColor="accent1" w:val="double"/>
          <w:left w:color="b1b1b1" w:space="0" w:sz="8" w:themeColor="accent1" w:val="single"/>
          <w:bottom w:color="b1b1b1" w:space="0" w:sz="8" w:themeColor="accent1" w:val="single"/>
          <w:right w:color="b1b1b1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1b1b1" w:space="0" w:sz="8" w:themeColor="accent1" w:val="single"/>
          <w:left w:color="b1b1b1" w:space="0" w:sz="8" w:themeColor="accent1" w:val="single"/>
          <w:bottom w:color="b1b1b1" w:space="0" w:sz="8" w:themeColor="accent1" w:val="single"/>
          <w:right w:color="b1b1b1" w:space="0" w:sz="8" w:themeColor="accent1" w:val="single"/>
        </w:tcBorders>
      </w:tcPr>
    </w:tblStylePr>
    <w:tblStylePr w:type="band1Horz">
      <w:tblPr/>
      <w:tcPr>
        <w:tcBorders>
          <w:top w:color="b1b1b1" w:space="0" w:sz="8" w:themeColor="accent1" w:val="single"/>
          <w:left w:color="b1b1b1" w:space="0" w:sz="8" w:themeColor="accent1" w:val="single"/>
          <w:bottom w:color="b1b1b1" w:space="0" w:sz="8" w:themeColor="accent1" w:val="single"/>
          <w:right w:color="b1b1b1" w:space="0" w:sz="8" w:themeColor="accent1" w:val="single"/>
        </w:tcBorders>
      </w:tcPr>
    </w:tblStylePr>
  </w:style>
  <w:style w:type="paragraph" w:styleId="Style2" w:customStyle="1">
    <w:name w:val="Style2"/>
    <w:basedOn w:val="Heading1"/>
    <w:link w:val="Style2Char"/>
    <w:qFormat w:val="1"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styleId="PolicyLevel3" w:customStyle="1">
    <w:name w:val="Policy Level 3"/>
    <w:basedOn w:val="Style2"/>
    <w:qFormat w:val="1"/>
    <w:rsid w:val="00BD30B5"/>
    <w:pPr>
      <w:numPr>
        <w:ilvl w:val="2"/>
      </w:numPr>
    </w:pPr>
  </w:style>
  <w:style w:type="numbering" w:styleId="Style1" w:customStyle="1">
    <w:name w:val="Style1"/>
    <w:basedOn w:val="NoList"/>
    <w:uiPriority w:val="99"/>
    <w:rsid w:val="00BD30B5"/>
    <w:pPr>
      <w:numPr>
        <w:numId w:val="4"/>
      </w:numPr>
    </w:pPr>
  </w:style>
  <w:style w:type="paragraph" w:styleId="Heading10" w:customStyle="1">
    <w:name w:val="Heading1"/>
    <w:basedOn w:val="Header"/>
    <w:next w:val="Normal"/>
    <w:qFormat w:val="1"/>
    <w:rsid w:val="00ED1FCA"/>
    <w:rPr>
      <w:b w:val="1"/>
      <w:sz w:val="32"/>
    </w:rPr>
  </w:style>
  <w:style w:type="paragraph" w:styleId="PolicyBullets" w:customStyle="1">
    <w:name w:val="Policy Bullets"/>
    <w:basedOn w:val="ListParagraph"/>
    <w:link w:val="PolicyBulletsChar"/>
    <w:qFormat w:val="1"/>
    <w:rsid w:val="00BD30B5"/>
    <w:pPr>
      <w:numPr>
        <w:numId w:val="6"/>
      </w:numPr>
      <w:spacing w:after="120"/>
    </w:pPr>
  </w:style>
  <w:style w:type="character" w:styleId="PolicyBulletsChar" w:customStyle="1">
    <w:name w:val="Policy Bullets Char"/>
    <w:basedOn w:val="DefaultParagraphFont"/>
    <w:link w:val="PolicyBullets"/>
    <w:rsid w:val="00BD30B5"/>
  </w:style>
  <w:style w:type="character" w:styleId="Style2Char" w:customStyle="1">
    <w:name w:val="Style2 Char"/>
    <w:basedOn w:val="Heading1Char"/>
    <w:link w:val="Style2"/>
    <w:rsid w:val="00021B95"/>
    <w:rPr>
      <w:rFonts w:asciiTheme="majorHAnsi" w:cstheme="minorHAnsi" w:hAnsiTheme="majorHAnsi"/>
      <w:sz w:val="28"/>
      <w:szCs w:val="32"/>
    </w:rPr>
  </w:style>
  <w:style w:type="paragraph" w:styleId="TSB-PolicyBullets" w:customStyle="1">
    <w:name w:val="TSB - Policy Bullets"/>
    <w:basedOn w:val="ListParagraph"/>
    <w:link w:val="TSB-PolicyBulletsChar"/>
    <w:autoRedefine w:val="1"/>
    <w:qFormat w:val="1"/>
    <w:rsid w:val="001A55DD"/>
    <w:pPr>
      <w:tabs>
        <w:tab w:val="left" w:pos="3686"/>
      </w:tabs>
      <w:spacing w:after="240" w:before="240"/>
      <w:ind w:left="0"/>
      <w:contextualSpacing w:val="0"/>
    </w:pPr>
    <w:rPr>
      <w:rFonts w:cs="Arial"/>
      <w:lang w:eastAsia="en-GB"/>
    </w:rPr>
  </w:style>
  <w:style w:type="character" w:styleId="TSB-PolicyBulletsChar" w:customStyle="1">
    <w:name w:val="TSB - Policy Bullets Char"/>
    <w:basedOn w:val="DefaultParagraphFont"/>
    <w:link w:val="TSB-PolicyBullets"/>
    <w:rsid w:val="001A55DD"/>
    <w:rPr>
      <w:rFonts w:ascii="Arial" w:cs="Arial" w:hAnsi="Arial"/>
      <w:lang w:eastAsia="en-GB"/>
    </w:rPr>
  </w:style>
  <w:style w:type="paragraph" w:styleId="Revision">
    <w:name w:val="Revision"/>
    <w:hidden w:val="1"/>
    <w:uiPriority w:val="99"/>
    <w:semiHidden w:val="1"/>
    <w:rsid w:val="004E2420"/>
    <w:pPr>
      <w:spacing w:after="0" w:line="240" w:lineRule="auto"/>
    </w:pPr>
    <w:rPr>
      <w:rFonts w:ascii="Arial" w:hAnsi="Arial"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E24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2420"/>
    <w:rPr>
      <w:rFonts w:ascii="Arial" w:hAnsi="Arial"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E242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E2420"/>
    <w:rPr>
      <w:rFonts w:ascii="Arial" w:hAnsi="Arial" w:eastAsiaTheme="minorEastAsia"/>
      <w:b w:val="1"/>
      <w:bCs w:val="1"/>
      <w:sz w:val="20"/>
      <w:szCs w:val="20"/>
    </w:rPr>
  </w:style>
  <w:style w:type="paragraph" w:styleId="Default" w:customStyle="1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1101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D6A9D"/>
    <w:rPr>
      <w:color w:val="990099" w:themeColor="followed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EB2EBD"/>
    <w:rPr>
      <w:rFonts w:ascii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FO6v0C/qrL8sTLskIA/csUg6w==">CgMxLjAyCGguZ2pkZ3hzOAByITFTTzdXS05JdXpsVmVtMEpSMENKaG1GY0FkcFRZa0pFQQ==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2023-01-30T13:10:00Z</dcterms:created>
  <dc:creator>Kieran Bamford</dc:creator>
</cp:coreProperties>
</file>